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sz w:val="20"/>
          <w:lang w:eastAsia="it-IT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20130" cy="1011573"/>
                <wp:effectExtent l="0" t="0" r="0" b="0"/>
                <wp:docPr id="1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  <pic:nvPr/>
                      </pic:nvPicPr>
                      <pic:blipFill rotWithShape="1">
                        <a:blip r:embed="rId7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6120130" cy="10115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81.90pt;height:79.65pt;mso-wrap-distance-left:0.00pt;mso-wrap-distance-top:0.00pt;mso-wrap-distance-right:0.00pt;mso-wrap-distance-bottom:0.00pt;z-index:1;" stroked="f">
                <v:imagedata r:id="rId7" o:title=""/>
                <o:lock v:ext="edit" rotation="t"/>
              </v:shape>
            </w:pict>
          </mc:Fallback>
        </mc:AlternateContent>
      </w:r>
    </w:p>
    <w:p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18"/>
          <w:lang w:eastAsia="it-IT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9264" behindDoc="1" locked="0" layoutInCell="1" allowOverlap="1">
                <wp:simplePos x="0" y="0"/>
                <wp:positionH relativeFrom="page">
                  <wp:posOffset>2861310</wp:posOffset>
                </wp:positionH>
                <wp:positionV relativeFrom="paragraph">
                  <wp:posOffset>41910</wp:posOffset>
                </wp:positionV>
                <wp:extent cx="1955800" cy="1684655"/>
                <wp:effectExtent l="0" t="0" r="6350" b="0"/>
                <wp:wrapTopAndBottom/>
                <wp:docPr id="2" name="Imag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 4"/>
                        <pic:cNvPicPr/>
                        <pic:nv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5800" cy="1684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-251659264;o:allowoverlap:true;o:allowincell:true;mso-position-horizontal-relative:page;margin-left:225.30pt;mso-position-horizontal:absolute;mso-position-vertical-relative:text;margin-top:3.30pt;mso-position-vertical:absolute;width:154.00pt;height:132.65pt;mso-wrap-distance-left:0.00pt;mso-wrap-distance-top:0.00pt;mso-wrap-distance-right:0.00pt;mso-wrap-distance-bottom:0.00pt;z-index:1;" stroked="false">
                <w10:wrap type="topAndBottom"/>
                <v:imagedata r:id="rId8" o:title=""/>
                <o:lock v:ext="edit" rotation="t"/>
              </v:shape>
            </w:pict>
          </mc:Fallback>
        </mc:AlternateContent>
      </w:r>
    </w:p>
    <w:p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Al C</w:t>
      </w:r>
      <w:r>
        <w:rPr>
          <w:rFonts w:ascii="Times New Roman" w:hAnsi="Times New Roman" w:cs="Times New Roman"/>
          <w:b/>
          <w:sz w:val="24"/>
          <w:szCs w:val="24"/>
        </w:rPr>
        <w:t xml:space="preserve">on</w:t>
      </w:r>
      <w:r>
        <w:rPr>
          <w:rFonts w:ascii="Times New Roman" w:hAnsi="Times New Roman" w:cs="Times New Roman"/>
          <w:b/>
          <w:sz w:val="24"/>
          <w:szCs w:val="24"/>
        </w:rPr>
        <w:t xml:space="preserve">sorzio I</w:t>
      </w:r>
      <w:r>
        <w:rPr>
          <w:rFonts w:ascii="Times New Roman" w:hAnsi="Times New Roman" w:cs="Times New Roman"/>
          <w:b/>
          <w:sz w:val="24"/>
          <w:szCs w:val="24"/>
        </w:rPr>
        <w:t xml:space="preserve">ntercomunale dei servizi sociali</w:t>
      </w:r>
    </w:p>
    <w:p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Distretto RM</w:t>
      </w:r>
      <w:r>
        <w:rPr>
          <w:rFonts w:ascii="Times New Roman" w:hAnsi="Times New Roman" w:cs="Times New Roman"/>
          <w:b/>
          <w:sz w:val="24"/>
          <w:szCs w:val="24"/>
        </w:rPr>
        <w:t xml:space="preserve"> 5.2 “PAGUS”</w:t>
      </w:r>
    </w:p>
    <w:p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/>
        <w:jc w:val="right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 xml:space="preserve">Allegato b</w:t>
      </w:r>
    </w:p>
    <w:p>
      <w:pPr>
        <w:spacing w:after="0"/>
        <w:jc w:val="right"/>
        <w:rPr>
          <w:rFonts w:ascii="Times New Roman" w:hAnsi="Times New Roman" w:cs="Times New Roman"/>
          <w:i/>
          <w:u w:val="single"/>
        </w:rPr>
      </w:pPr>
    </w:p>
    <w:p>
      <w:pPr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Istanza di partecipazione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all’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Avviso pubblico per la selezione di un esperto per il conferimento di incarico professionale di Coordinatore strategico Programmatico per l’attuazione e la realizzazione del progetto “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DestEEnazione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Desideri in azione” Comunità adolescenti CUP   F11H25000030006  - da finanziare a valere sulle risorse del Programma Nazionale Inclusione e Lotta alla Povertà 2021-2027 FSE+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Il/La sottoscritto/a ……………………….., nato/a </w:t>
      </w:r>
      <w:r>
        <w:rPr>
          <w:rFonts w:ascii="Times New Roman" w:hAnsi="Times New Roman" w:cs="Times New Roman"/>
          <w:sz w:val="24"/>
          <w:szCs w:val="24"/>
        </w:rPr>
        <w:t xml:space="preserve">a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 il ………………… e residente a …………………… in Via/Piazza ………………………….…………………, n. …….…., C.F. ………………………………………………….,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CHIEDE</w:t>
      </w:r>
    </w:p>
    <w:p>
      <w:pPr>
        <w:tabs>
          <w:tab w:val="left" w:pos="9638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partecipare </w:t>
      </w:r>
      <w:r>
        <w:rPr>
          <w:rFonts w:ascii="Times New Roman" w:hAnsi="Times New Roman" w:cs="Times New Roman"/>
          <w:sz w:val="24"/>
          <w:szCs w:val="24"/>
        </w:rPr>
        <w:t xml:space="preserve">all’Avviso pubblico per la selezione di un esperto per il conferimento di incarico professionale di Coordinatore strategico Programmatico per l’attuazione e la realizzazione del progetto “</w:t>
      </w:r>
      <w:r>
        <w:rPr>
          <w:rFonts w:ascii="Times New Roman" w:hAnsi="Times New Roman" w:cs="Times New Roman"/>
          <w:sz w:val="24"/>
          <w:szCs w:val="24"/>
        </w:rPr>
        <w:t xml:space="preserve">DestEEnazione</w:t>
      </w:r>
      <w:r>
        <w:rPr>
          <w:rFonts w:ascii="Times New Roman" w:hAnsi="Times New Roman" w:cs="Times New Roman"/>
          <w:sz w:val="24"/>
          <w:szCs w:val="24"/>
        </w:rPr>
        <w:t xml:space="preserve"> – Desideri in azione” Comunità adolescenti CUP   F11H25000030006  - da finanziare a valere sulle risorse del Programma Nazionale Inclusione e Lotta alla Povertà 2021-2027 FSE+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</w:p>
    <w:p>
      <w:pPr>
        <w:tabs>
          <w:tab w:val="left" w:pos="9638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tal fine, avvalendosi delle disposizioni di cui all’art. 47, commi 1 e 3, del D.P.R. 28/12/2000, n. 445 e consapevole delle responsabilità penali relative a dichiarazioni false e/o mendaci e delle conseguenze relative alla perdita dei benefici ottenuti, ai sensi dell’art. 76 del D.P.R. n. 445/2000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DICHIARA</w:t>
      </w:r>
    </w:p>
    <w:p>
      <w:pPr>
        <w:spacing w:after="0" w:line="360" w:lineRule="auto"/>
        <w:ind w:right="8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essere </w:t>
      </w:r>
      <w:r>
        <w:rPr>
          <w:rFonts w:ascii="Times New Roman" w:hAnsi="Times New Roman" w:cs="Times New Roman"/>
          <w:sz w:val="24"/>
          <w:szCs w:val="24"/>
        </w:rPr>
        <w:t xml:space="preserve">in possesso dei requisiti </w:t>
      </w:r>
      <w:r>
        <w:rPr>
          <w:rFonts w:ascii="Times New Roman" w:hAnsi="Times New Roman" w:cs="Times New Roman"/>
          <w:sz w:val="24"/>
          <w:szCs w:val="24"/>
        </w:rPr>
        <w:t xml:space="preserve">generali e specifici di seguito indicati:</w:t>
      </w:r>
    </w:p>
    <w:p>
      <w:pPr>
        <w:pStyle w:val="Default"/>
        <w:numPr>
          <w:ilvl w:val="0"/>
          <w:numId w:val="2"/>
        </w:numPr>
        <w:spacing w:line="360" w:lineRule="auto"/>
        <w:jc w:val="both"/>
        <w:rPr>
          <w:rFonts w:ascii="Times New Roman" w:hAnsi="Times New Roman" w:eastAsia="Times New Roman" w:cs="Times New Roman"/>
          <w:b/>
          <w:color w:val="auto"/>
        </w:rPr>
      </w:pPr>
      <w:r>
        <w:rPr>
          <w:rFonts w:ascii="Times New Roman" w:hAnsi="Times New Roman" w:eastAsia="Times New Roman" w:cs="Times New Roman"/>
          <w:b/>
          <w:color w:val="auto"/>
        </w:rPr>
        <w:t xml:space="preserve">Requisiti Generali: </w:t>
      </w:r>
    </w:p>
    <w:p>
      <w:pPr>
        <w:pStyle w:val="Default"/>
        <w:numPr>
          <w:ilvl w:val="0"/>
          <w:numId w:val="3"/>
        </w:numPr>
        <w:spacing w:line="360" w:lineRule="auto"/>
        <w:ind w:right="-1"/>
        <w:jc w:val="both"/>
        <w:rPr>
          <w:rFonts w:ascii="Times New Roman" w:hAnsi="Times New Roman" w:eastAsia="Times New Roman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</w:rPr>
        <w:t xml:space="preserve">avere cittadinanza italiana o di uno degli Stati membri dell’Unione Europea oppure non avere la cittadinanza di uno stato membro dell’U.E., ma essere familiare, in possesso di diritto di soggiorno o di diritto di soggiorno permanente, di cittadino di uno stato membro dell’U.E.; essere cittadino di Paesi Terzi con permesso di lungo soggiorno CE per soggiornanti di lungo periodo; </w:t>
      </w:r>
      <w:r>
        <w:rPr>
          <w:rFonts w:ascii="Times New Roman" w:hAnsi="Times New Roman" w:eastAsia="Times New Roman" w:cs="Times New Roman"/>
          <w:color w:val="auto"/>
        </w:rPr>
        <w:t xml:space="preserve">e</w:t>
      </w:r>
      <w:r>
        <w:rPr>
          <w:rFonts w:ascii="Times New Roman" w:hAnsi="Times New Roman" w:eastAsia="Times New Roman" w:cs="Times New Roman"/>
          <w:color w:val="auto"/>
        </w:rPr>
        <w:t xml:space="preserve">ssere titolare dello status di rifugiato o di protezione sussidiaria; </w:t>
      </w:r>
    </w:p>
    <w:p>
      <w:pPr>
        <w:pStyle w:val="Default"/>
        <w:numPr>
          <w:ilvl w:val="0"/>
          <w:numId w:val="3"/>
        </w:numPr>
        <w:spacing w:line="360" w:lineRule="auto"/>
        <w:jc w:val="both"/>
        <w:rPr>
          <w:rFonts w:ascii="Times New Roman" w:hAnsi="Times New Roman" w:eastAsia="Times New Roman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</w:rPr>
        <w:t xml:space="preserve">non trovarsi in nessuna delle situazioni ostative della capacità di contrarre con la Pubblica amministrazione elencate agli artt. 94 e 95 del D.lgs. 36/2023; </w:t>
      </w:r>
    </w:p>
    <w:p>
      <w:pPr>
        <w:pStyle w:val="Default"/>
        <w:numPr>
          <w:ilvl w:val="0"/>
          <w:numId w:val="3"/>
        </w:numPr>
        <w:spacing w:line="360" w:lineRule="auto"/>
        <w:jc w:val="both"/>
        <w:rPr>
          <w:rFonts w:ascii="Times New Roman" w:hAnsi="Times New Roman" w:eastAsia="Times New Roman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</w:rPr>
        <w:t xml:space="preserve">non trovarsi in situazione, anche potenziale, di conflitto di interessi propri, del coniuge, di conviventi, di parenti, di affini entro il secondo grado nei confronti dei Comune afferenti al Consorzio; </w:t>
      </w:r>
    </w:p>
    <w:p>
      <w:pPr>
        <w:pStyle w:val="Default"/>
        <w:numPr>
          <w:ilvl w:val="0"/>
          <w:numId w:val="3"/>
        </w:numPr>
        <w:spacing w:line="360" w:lineRule="auto"/>
        <w:jc w:val="both"/>
        <w:rPr>
          <w:rFonts w:ascii="Times New Roman" w:hAnsi="Times New Roman" w:eastAsia="Times New Roman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</w:rPr>
        <w:t xml:space="preserve">insussistenza di procedimenti per destituzione, dispensa, decadenza o licenziamento da un precedente impiego presso la Pubblica Amministrazione; </w:t>
      </w:r>
    </w:p>
    <w:p>
      <w:pPr>
        <w:pStyle w:val="Default"/>
        <w:numPr>
          <w:ilvl w:val="0"/>
          <w:numId w:val="3"/>
        </w:numPr>
        <w:spacing w:line="360" w:lineRule="auto"/>
        <w:jc w:val="both"/>
        <w:rPr>
          <w:rFonts w:ascii="Times New Roman" w:hAnsi="Times New Roman" w:eastAsia="Times New Roman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</w:rPr>
        <w:t xml:space="preserve">insussistenza di procedimenti penali in corso o pendenti in giudizio e di pronunce di condanna con sentenza passata in giudicato, per qualsiasi reato che incida sulla moralità professionale;</w:t>
      </w:r>
    </w:p>
    <w:p>
      <w:pPr>
        <w:pStyle w:val="Default"/>
        <w:numPr>
          <w:ilvl w:val="0"/>
          <w:numId w:val="3"/>
        </w:numPr>
        <w:spacing w:line="360" w:lineRule="auto"/>
        <w:jc w:val="both"/>
        <w:rPr>
          <w:rFonts w:ascii="Times New Roman" w:hAnsi="Times New Roman" w:eastAsia="Times New Roman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</w:rPr>
        <w:t xml:space="preserve">non aver riportato condanne penali per reati contro la Pubblica Amministrazione o la fede pubblica o per reati ostativi alla costituzione ed alla permanenza del rapporto di pubblico impiego; </w:t>
      </w:r>
    </w:p>
    <w:p>
      <w:pPr>
        <w:pStyle w:val="Default"/>
        <w:numPr>
          <w:ilvl w:val="0"/>
          <w:numId w:val="3"/>
        </w:numPr>
        <w:spacing w:line="360" w:lineRule="auto"/>
        <w:jc w:val="both"/>
        <w:rPr>
          <w:rFonts w:ascii="Times New Roman" w:hAnsi="Times New Roman" w:eastAsia="Times New Roman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</w:rPr>
        <w:t xml:space="preserve">non avere procedimenti pendenti relativi ai reati di cui sopra;</w:t>
      </w:r>
    </w:p>
    <w:p>
      <w:pPr>
        <w:pStyle w:val="Default"/>
        <w:numPr>
          <w:ilvl w:val="0"/>
          <w:numId w:val="3"/>
        </w:numPr>
        <w:spacing w:line="360" w:lineRule="auto"/>
        <w:jc w:val="both"/>
        <w:rPr>
          <w:rFonts w:ascii="Times New Roman" w:hAnsi="Times New Roman" w:eastAsia="Times New Roman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</w:rPr>
        <w:t xml:space="preserve">non trovarsi in altre condizioni che limitino o escludano, a norma di legge, la capacità di contrattare con la Pubblica Amministrazione;</w:t>
      </w:r>
    </w:p>
    <w:p>
      <w:pPr>
        <w:pStyle w:val="Default"/>
        <w:numPr>
          <w:ilvl w:val="0"/>
          <w:numId w:val="3"/>
        </w:numPr>
        <w:spacing w:line="360" w:lineRule="auto"/>
        <w:jc w:val="both"/>
        <w:rPr>
          <w:rFonts w:ascii="Times New Roman" w:hAnsi="Times New Roman" w:eastAsia="Times New Roman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</w:rPr>
        <w:t xml:space="preserve">non essere in posizione di quiescenza né di collocamento a riposo ai sensi della vigente normativa in materia pensionistica; </w:t>
      </w:r>
    </w:p>
    <w:p>
      <w:pPr>
        <w:pStyle w:val="Default"/>
        <w:numPr>
          <w:ilvl w:val="0"/>
          <w:numId w:val="3"/>
        </w:numPr>
        <w:spacing w:line="360" w:lineRule="auto"/>
        <w:jc w:val="both"/>
        <w:rPr>
          <w:rFonts w:ascii="Times New Roman" w:hAnsi="Times New Roman" w:eastAsia="Times New Roman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</w:rPr>
        <w:t xml:space="preserve">godere dei diritti civili e politici in Italia o nello Stato di appartenenza o provenienza; </w:t>
      </w:r>
    </w:p>
    <w:p>
      <w:pPr>
        <w:pStyle w:val="Default"/>
        <w:numPr>
          <w:ilvl w:val="0"/>
          <w:numId w:val="3"/>
        </w:numPr>
        <w:spacing w:line="360" w:lineRule="auto"/>
        <w:jc w:val="both"/>
        <w:rPr>
          <w:rFonts w:ascii="Times New Roman" w:hAnsi="Times New Roman" w:eastAsia="Times New Roman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</w:rPr>
        <w:t xml:space="preserve">per i cittadini di Stati diversi dall’Italia, avere adeguata conoscenza della lingua italiana. </w:t>
      </w:r>
    </w:p>
    <w:p>
      <w:pPr>
        <w:pStyle w:val="Default"/>
        <w:numPr>
          <w:ilvl w:val="0"/>
          <w:numId w:val="3"/>
        </w:numPr>
        <w:spacing w:line="360" w:lineRule="auto"/>
        <w:jc w:val="both"/>
        <w:rPr>
          <w:rFonts w:ascii="Times New Roman" w:hAnsi="Times New Roman" w:eastAsia="Times New Roman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</w:rPr>
        <w:t xml:space="preserve">essere in possesso di partita IVA per lo svolgimento dell’attività professionale richiesta o disponibilità ad attivare partita IVA preliminarmente al conferimento dell'incarico; </w:t>
      </w:r>
    </w:p>
    <w:p>
      <w:pPr>
        <w:pStyle w:val="Default"/>
        <w:numPr>
          <w:ilvl w:val="0"/>
          <w:numId w:val="3"/>
        </w:numPr>
        <w:spacing w:line="360" w:lineRule="auto"/>
        <w:jc w:val="both"/>
        <w:rPr>
          <w:rFonts w:ascii="Times New Roman" w:hAnsi="Times New Roman" w:eastAsia="Times New Roman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</w:rPr>
        <w:t xml:space="preserve">essere in possesso di adeguata polizza assicurativa a garanzia della responsabilità civile verso terzi e per gli infortuni o disponibilità ad attivare adeguata polizza assicurativa preliminarmente al conferimento dell’incarico. </w:t>
      </w:r>
    </w:p>
    <w:p>
      <w:pPr>
        <w:spacing w:after="0" w:line="360" w:lineRule="auto"/>
        <w:ind w:right="847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widowControl w:val="false"/>
        <w:numPr>
          <w:ilvl w:val="0"/>
          <w:numId w:val="2"/>
        </w:numPr>
        <w:spacing w:after="0" w:line="360" w:lineRule="auto"/>
        <w:ind w:right="84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Requisiti professionali specifici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per l’ammissione alla selezione:</w:t>
      </w:r>
    </w:p>
    <w:p>
      <w:pPr>
        <w:widowControl w:val="false"/>
        <w:numPr>
          <w:ilvl w:val="0"/>
          <w:numId w:val="4"/>
        </w:numPr>
        <w:tabs>
          <w:tab w:val="left" w:pos="2130"/>
          <w:tab w:val="center" w:pos="4819"/>
        </w:tabs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Titolo di studio </w:t>
      </w:r>
      <w:r>
        <w:rPr>
          <w:rFonts w:ascii="Times New Roman" w:hAnsi="Times New Roman" w:cs="Times New Roman" w:eastAsiaTheme="minorEastAsia"/>
          <w:sz w:val="24"/>
          <w:szCs w:val="24"/>
        </w:rPr>
        <w:t xml:space="preserve">Diploma di Laurea, conseguito con il vecchio ordinamento universitario (DL) oppure Diploma di Laurea (L) </w:t>
      </w:r>
      <w:r>
        <w:rPr>
          <w:rFonts w:ascii="Times New Roman" w:hAnsi="Times New Roman" w:eastAsia="Arial" w:cs="Times New Roman"/>
          <w:sz w:val="24"/>
          <w:szCs w:val="24"/>
        </w:rPr>
        <w:t xml:space="preserve">in Psicologia o Scienze dell'educazione o Scienze del servizio sociale o Sociologia o Scienze della comunicazione o Scienze politiche e Lauree equiparate ed equipollenti secondo la normativa vigente; </w:t>
      </w:r>
    </w:p>
    <w:p>
      <w:pPr>
        <w:widowControl w:val="false"/>
        <w:numPr>
          <w:ilvl w:val="1"/>
          <w:numId w:val="5"/>
        </w:numPr>
        <w:tabs>
          <w:tab w:val="left" w:pos="1365"/>
        </w:tabs>
        <w:spacing w:after="0" w:line="360" w:lineRule="auto"/>
        <w:ind w:right="28" w:left="1365"/>
        <w:jc w:val="both"/>
        <w:rPr>
          <w:rFonts w:ascii="Times New Roman" w:hAnsi="Times New Roman" w:eastAsia="Arial" w:cs="Times New Roman"/>
          <w:sz w:val="24"/>
          <w:szCs w:val="24"/>
        </w:rPr>
      </w:pPr>
      <w:r>
        <w:rPr>
          <w:rFonts w:ascii="Times New Roman" w:hAnsi="Times New Roman" w:eastAsia="Arial" w:cs="Times New Roman"/>
          <w:sz w:val="24"/>
          <w:szCs w:val="24"/>
        </w:rPr>
        <w:t xml:space="preserve">Comprovata e documentata esperienza professionale, anche non consecutiva, di almeno cinque anni, nelle tre linee di intervento previste dal progetto: formazione, coordinamento ed educativa;</w:t>
      </w:r>
    </w:p>
    <w:p>
      <w:pPr>
        <w:widowControl w:val="false"/>
        <w:numPr>
          <w:ilvl w:val="1"/>
          <w:numId w:val="5"/>
        </w:numPr>
        <w:tabs>
          <w:tab w:val="left" w:pos="1365"/>
        </w:tabs>
        <w:spacing w:after="0" w:line="360" w:lineRule="auto"/>
        <w:ind w:right="28" w:left="1365"/>
        <w:jc w:val="both"/>
        <w:rPr>
          <w:rFonts w:ascii="Times New Roman" w:hAnsi="Times New Roman" w:eastAsia="Arial" w:cs="Times New Roman"/>
          <w:sz w:val="24"/>
          <w:szCs w:val="24"/>
        </w:rPr>
      </w:pPr>
      <w:r>
        <w:rPr>
          <w:rFonts w:ascii="Times New Roman" w:hAnsi="Times New Roman" w:eastAsia="Arial" w:cs="Times New Roman"/>
          <w:sz w:val="24"/>
          <w:szCs w:val="24"/>
        </w:rPr>
        <w:t xml:space="preserve">Aver coordinato e gestito progetti in materia oggetto del suddetto finanziamento;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Autorizza il trattamento dei dati personale ai sensi del Regolamento Ue n.2016/679 ai fini del procedimento di cui all’oggetto. 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Infine, comunica che l’indirizzo al quale inviare tutte le comunicazioni afferenti </w:t>
      </w:r>
      <w:r>
        <w:rPr>
          <w:rFonts w:ascii="Times New Roman" w:hAnsi="Times New Roman" w:cs="Times New Roman"/>
          <w:sz w:val="24"/>
          <w:szCs w:val="24"/>
        </w:rPr>
        <w:t xml:space="preserve">la procedura</w:t>
      </w:r>
      <w:r>
        <w:rPr>
          <w:rFonts w:ascii="Times New Roman" w:hAnsi="Times New Roman" w:cs="Times New Roman"/>
          <w:sz w:val="24"/>
          <w:szCs w:val="24"/>
        </w:rPr>
        <w:t xml:space="preserve"> è il seguente: 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Città:</w:t>
      </w:r>
      <w:r>
        <w:rPr>
          <w:rFonts w:ascii="Times New Roman" w:hAnsi="Times New Roman" w:cs="Times New Roman"/>
          <w:sz w:val="24"/>
          <w:szCs w:val="24"/>
        </w:rPr>
        <w:t xml:space="preserve">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……………………………………………………………………………….CAP: ……………….Via/Piazza: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……………………………………………………………………. n. ………………. Recapito telefonico: tel. ……………………… fax …………………….. </w:t>
      </w:r>
      <w:r>
        <w:rPr>
          <w:rFonts w:ascii="Times New Roman" w:hAnsi="Times New Roman" w:cs="Times New Roman"/>
          <w:sz w:val="24"/>
          <w:szCs w:val="24"/>
        </w:rPr>
        <w:t xml:space="preserve">cell</w:t>
      </w:r>
      <w:r>
        <w:rPr>
          <w:rFonts w:ascii="Times New Roman" w:hAnsi="Times New Roman" w:cs="Times New Roman"/>
          <w:sz w:val="24"/>
          <w:szCs w:val="24"/>
        </w:rPr>
        <w:t xml:space="preserve">. …………………………… E-mail ………………………………………………… PEC: ………………………………………………..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Luogo …………………….., lì ………………..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Allegati: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copia documento di riconoscimento in corso di validità;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curriculum vitae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formato europeo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fede</w:t>
      </w:r>
    </w:p>
    <w:p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</w:t>
      </w:r>
    </w:p>
    <w:sectPr>
      <w:pgSz w:h="16838" w:w="11906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Wingdings">
    <w:panose1 w:val="05000000000000000000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 w:tplc="F0E40EC6">
      <w:lvlJc w:val="left"/>
      <w:lvlText w:val="%1."/>
      <w:numFmt w:val="decimal"/>
      <w:pPr>
        <w:ind w:hanging="360" w:left="107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  <w:start w:val="1"/>
    </w:lvl>
    <w:lvl w:ilvl="1" w:tplc="394A537E">
      <w:lvlJc w:val="left"/>
      <w:lvlText w:val=""/>
      <w:numFmt w:val="bullet"/>
      <w:pPr>
        <w:ind w:hanging="360" w:left="1366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1DC1A6A">
      <w:lvlJc w:val="left"/>
      <w:lvlText w:val="•"/>
      <w:numFmt w:val="bullet"/>
      <w:pPr>
        <w:ind w:hanging="360" w:left="2406"/>
      </w:pPr>
      <w:rPr>
        <w:rFonts w:hint="default"/>
        <w:lang w:val="it-IT" w:eastAsia="en-US" w:bidi="ar-SA"/>
      </w:rPr>
    </w:lvl>
    <w:lvl w:ilvl="3" w:tplc="9D820C86">
      <w:lvlJc w:val="left"/>
      <w:lvlText w:val="•"/>
      <w:numFmt w:val="bullet"/>
      <w:pPr>
        <w:ind w:hanging="360" w:left="3452"/>
      </w:pPr>
      <w:rPr>
        <w:rFonts w:hint="default"/>
        <w:lang w:val="it-IT" w:eastAsia="en-US" w:bidi="ar-SA"/>
      </w:rPr>
    </w:lvl>
    <w:lvl w:ilvl="4" w:tplc="E688B3F6">
      <w:lvlJc w:val="left"/>
      <w:lvlText w:val="•"/>
      <w:numFmt w:val="bullet"/>
      <w:pPr>
        <w:ind w:hanging="360" w:left="4499"/>
      </w:pPr>
      <w:rPr>
        <w:rFonts w:hint="default"/>
        <w:lang w:val="it-IT" w:eastAsia="en-US" w:bidi="ar-SA"/>
      </w:rPr>
    </w:lvl>
    <w:lvl w:ilvl="5" w:tplc="7D28FB34">
      <w:lvlJc w:val="left"/>
      <w:lvlText w:val="•"/>
      <w:numFmt w:val="bullet"/>
      <w:pPr>
        <w:ind w:hanging="360" w:left="5545"/>
      </w:pPr>
      <w:rPr>
        <w:rFonts w:hint="default"/>
        <w:lang w:val="it-IT" w:eastAsia="en-US" w:bidi="ar-SA"/>
      </w:rPr>
    </w:lvl>
    <w:lvl w:ilvl="6" w:tplc="8EBC60C6">
      <w:lvlJc w:val="left"/>
      <w:lvlText w:val="•"/>
      <w:numFmt w:val="bullet"/>
      <w:pPr>
        <w:ind w:hanging="360" w:left="6591"/>
      </w:pPr>
      <w:rPr>
        <w:rFonts w:hint="default"/>
        <w:lang w:val="it-IT" w:eastAsia="en-US" w:bidi="ar-SA"/>
      </w:rPr>
    </w:lvl>
    <w:lvl w:ilvl="7" w:tplc="2B20D684">
      <w:lvlJc w:val="left"/>
      <w:lvlText w:val="•"/>
      <w:numFmt w:val="bullet"/>
      <w:pPr>
        <w:ind w:hanging="360" w:left="7638"/>
      </w:pPr>
      <w:rPr>
        <w:rFonts w:hint="default"/>
        <w:lang w:val="it-IT" w:eastAsia="en-US" w:bidi="ar-SA"/>
      </w:rPr>
    </w:lvl>
    <w:lvl w:ilvl="8" w:tplc="3D9CF70E">
      <w:lvlJc w:val="left"/>
      <w:lvlText w:val="•"/>
      <w:numFmt w:val="bullet"/>
      <w:pPr>
        <w:ind w:hanging="360" w:left="8684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 w:tplc="F074253C">
      <w:lvlJc w:val="left"/>
      <w:lvlText w:val="%1."/>
      <w:numFmt w:val="decimal"/>
      <w:pPr>
        <w:ind w:hanging="360" w:left="720"/>
      </w:pPr>
      <w:start w:val="1"/>
    </w:lvl>
    <w:lvl w:ilvl="1" w:tentative="true" w:tplc="04100019">
      <w:lvlJc w:val="left"/>
      <w:lvlText w:val="%2."/>
      <w:numFmt w:val="lowerLetter"/>
      <w:pPr>
        <w:ind w:hanging="360" w:left="1440"/>
      </w:pPr>
      <w:start w:val="1"/>
    </w:lvl>
    <w:lvl w:ilvl="2" w:tentative="true" w:tplc="0410001B">
      <w:lvlJc w:val="right"/>
      <w:lvlText w:val="%3."/>
      <w:numFmt w:val="lowerRoman"/>
      <w:pPr>
        <w:ind w:hanging="180" w:left="2160"/>
      </w:pPr>
      <w:start w:val="1"/>
    </w:lvl>
    <w:lvl w:ilvl="3" w:tentative="true" w:tplc="0410000F">
      <w:lvlJc w:val="left"/>
      <w:lvlText w:val="%4."/>
      <w:numFmt w:val="decimal"/>
      <w:pPr>
        <w:ind w:hanging="360" w:left="2880"/>
      </w:pPr>
      <w:start w:val="1"/>
    </w:lvl>
    <w:lvl w:ilvl="4" w:tentative="true" w:tplc="04100019">
      <w:lvlJc w:val="left"/>
      <w:lvlText w:val="%5."/>
      <w:numFmt w:val="lowerLetter"/>
      <w:pPr>
        <w:ind w:hanging="360" w:left="3600"/>
      </w:pPr>
      <w:start w:val="1"/>
    </w:lvl>
    <w:lvl w:ilvl="5" w:tentative="true" w:tplc="0410001B">
      <w:lvlJc w:val="right"/>
      <w:lvlText w:val="%6."/>
      <w:numFmt w:val="lowerRoman"/>
      <w:pPr>
        <w:ind w:hanging="180" w:left="4320"/>
      </w:pPr>
      <w:start w:val="1"/>
    </w:lvl>
    <w:lvl w:ilvl="6" w:tentative="true" w:tplc="0410000F">
      <w:lvlJc w:val="left"/>
      <w:lvlText w:val="%7."/>
      <w:numFmt w:val="decimal"/>
      <w:pPr>
        <w:ind w:hanging="360" w:left="5040"/>
      </w:pPr>
      <w:start w:val="1"/>
    </w:lvl>
    <w:lvl w:ilvl="7" w:tentative="true" w:tplc="04100019">
      <w:lvlJc w:val="left"/>
      <w:lvlText w:val="%8."/>
      <w:numFmt w:val="lowerLetter"/>
      <w:pPr>
        <w:ind w:hanging="360" w:left="5760"/>
      </w:pPr>
      <w:start w:val="1"/>
    </w:lvl>
    <w:lvl w:ilvl="8" w:tentative="true" w:tplc="0410001B">
      <w:lvlJc w:val="right"/>
      <w:lvlText w:val="%9."/>
      <w:numFmt w:val="lowerRoman"/>
      <w:pPr>
        <w:ind w:hanging="180" w:left="6480"/>
      </w:pPr>
      <w:start w:val="1"/>
    </w:lvl>
  </w:abstractNum>
  <w:abstractNum w:abstractNumId="2">
    <w:multiLevelType w:val="hybridMultilevel"/>
    <w:lvl w:ilvl="0" w:tplc="04100017">
      <w:lvlJc w:val="left"/>
      <w:lvlText w:val="%1)"/>
      <w:numFmt w:val="lowerLetter"/>
      <w:pPr>
        <w:ind w:hanging="360" w:left="644"/>
      </w:pPr>
      <w:start w:val="1"/>
    </w:lvl>
    <w:lvl w:ilvl="1" w:tentative="true" w:tplc="04100019">
      <w:lvlJc w:val="left"/>
      <w:lvlText w:val="%2."/>
      <w:numFmt w:val="lowerLetter"/>
      <w:pPr>
        <w:ind w:hanging="360" w:left="1440"/>
      </w:pPr>
      <w:start w:val="1"/>
    </w:lvl>
    <w:lvl w:ilvl="2" w:tentative="true" w:tplc="0410001B">
      <w:lvlJc w:val="right"/>
      <w:lvlText w:val="%3."/>
      <w:numFmt w:val="lowerRoman"/>
      <w:pPr>
        <w:ind w:hanging="180" w:left="2160"/>
      </w:pPr>
      <w:start w:val="1"/>
    </w:lvl>
    <w:lvl w:ilvl="3" w:tentative="true" w:tplc="0410000F">
      <w:lvlJc w:val="left"/>
      <w:lvlText w:val="%4."/>
      <w:numFmt w:val="decimal"/>
      <w:pPr>
        <w:ind w:hanging="360" w:left="2880"/>
      </w:pPr>
      <w:start w:val="1"/>
    </w:lvl>
    <w:lvl w:ilvl="4" w:tentative="true" w:tplc="04100019">
      <w:lvlJc w:val="left"/>
      <w:lvlText w:val="%5."/>
      <w:numFmt w:val="lowerLetter"/>
      <w:pPr>
        <w:ind w:hanging="360" w:left="3600"/>
      </w:pPr>
      <w:start w:val="1"/>
    </w:lvl>
    <w:lvl w:ilvl="5" w:tentative="true" w:tplc="0410001B">
      <w:lvlJc w:val="right"/>
      <w:lvlText w:val="%6."/>
      <w:numFmt w:val="lowerRoman"/>
      <w:pPr>
        <w:ind w:hanging="180" w:left="4320"/>
      </w:pPr>
      <w:start w:val="1"/>
    </w:lvl>
    <w:lvl w:ilvl="6" w:tentative="true" w:tplc="0410000F">
      <w:lvlJc w:val="left"/>
      <w:lvlText w:val="%7."/>
      <w:numFmt w:val="decimal"/>
      <w:pPr>
        <w:ind w:hanging="360" w:left="5040"/>
      </w:pPr>
      <w:start w:val="1"/>
    </w:lvl>
    <w:lvl w:ilvl="7" w:tentative="true" w:tplc="04100019">
      <w:lvlJc w:val="left"/>
      <w:lvlText w:val="%8."/>
      <w:numFmt w:val="lowerLetter"/>
      <w:pPr>
        <w:ind w:hanging="360" w:left="5760"/>
      </w:pPr>
      <w:start w:val="1"/>
    </w:lvl>
    <w:lvl w:ilvl="8" w:tentative="true" w:tplc="0410001B">
      <w:lvlJc w:val="right"/>
      <w:lvlText w:val="%9."/>
      <w:numFmt w:val="lowerRoman"/>
      <w:pPr>
        <w:ind w:hanging="180" w:left="6480"/>
      </w:pPr>
      <w:start w:val="1"/>
    </w:lvl>
  </w:abstractNum>
  <w:abstractNum w:abstractNumId="3">
    <w:multiLevelType w:val="hybridMultilevel"/>
    <w:lvl w:ilvl="0" w:tplc="0410000F">
      <w:lvlJc w:val="left"/>
      <w:lvlText w:val="%1."/>
      <w:numFmt w:val="decimal"/>
      <w:pPr>
        <w:ind w:hanging="360" w:left="720"/>
      </w:pPr>
      <w:start w:val="1"/>
    </w:lvl>
    <w:lvl w:ilvl="1" w:tentative="true" w:tplc="04100019">
      <w:lvlJc w:val="left"/>
      <w:lvlText w:val="%2."/>
      <w:numFmt w:val="lowerLetter"/>
      <w:pPr>
        <w:ind w:hanging="360" w:left="1440"/>
      </w:pPr>
      <w:start w:val="1"/>
    </w:lvl>
    <w:lvl w:ilvl="2" w:tentative="true" w:tplc="0410001B">
      <w:lvlJc w:val="right"/>
      <w:lvlText w:val="%3."/>
      <w:numFmt w:val="lowerRoman"/>
      <w:pPr>
        <w:ind w:hanging="180" w:left="2160"/>
      </w:pPr>
      <w:start w:val="1"/>
    </w:lvl>
    <w:lvl w:ilvl="3" w:tentative="true" w:tplc="0410000F">
      <w:lvlJc w:val="left"/>
      <w:lvlText w:val="%4."/>
      <w:numFmt w:val="decimal"/>
      <w:pPr>
        <w:ind w:hanging="360" w:left="2880"/>
      </w:pPr>
      <w:start w:val="1"/>
    </w:lvl>
    <w:lvl w:ilvl="4" w:tentative="true" w:tplc="04100019">
      <w:lvlJc w:val="left"/>
      <w:lvlText w:val="%5."/>
      <w:numFmt w:val="lowerLetter"/>
      <w:pPr>
        <w:ind w:hanging="360" w:left="3600"/>
      </w:pPr>
      <w:start w:val="1"/>
    </w:lvl>
    <w:lvl w:ilvl="5" w:tentative="true" w:tplc="0410001B">
      <w:lvlJc w:val="right"/>
      <w:lvlText w:val="%6."/>
      <w:numFmt w:val="lowerRoman"/>
      <w:pPr>
        <w:ind w:hanging="180" w:left="4320"/>
      </w:pPr>
      <w:start w:val="1"/>
    </w:lvl>
    <w:lvl w:ilvl="6" w:tentative="true" w:tplc="0410000F">
      <w:lvlJc w:val="left"/>
      <w:lvlText w:val="%7."/>
      <w:numFmt w:val="decimal"/>
      <w:pPr>
        <w:ind w:hanging="360" w:left="5040"/>
      </w:pPr>
      <w:start w:val="1"/>
    </w:lvl>
    <w:lvl w:ilvl="7" w:tentative="true" w:tplc="04100019">
      <w:lvlJc w:val="left"/>
      <w:lvlText w:val="%8."/>
      <w:numFmt w:val="lowerLetter"/>
      <w:pPr>
        <w:ind w:hanging="360" w:left="5760"/>
      </w:pPr>
      <w:start w:val="1"/>
    </w:lvl>
    <w:lvl w:ilvl="8" w:tentative="true" w:tplc="0410001B">
      <w:lvlJc w:val="right"/>
      <w:lvlText w:val="%9."/>
      <w:numFmt w:val="lowerRoman"/>
      <w:pPr>
        <w:ind w:hanging="180" w:left="6480"/>
      </w:pPr>
      <w:start w:val="1"/>
    </w:lvl>
  </w:abstractNum>
  <w:abstractNum w:abstractNumId="4">
    <w:multiLevelType w:val="hybridMultilevel"/>
    <w:lvl w:ilvl="0" w:tplc="0410000D">
      <w:lvlJc w:val="left"/>
      <w:lvlText w:val=""/>
      <w:numFmt w:val="bullet"/>
      <w:pPr>
        <w:ind w:hanging="360" w:left="1221"/>
      </w:pPr>
      <w:rPr>
        <w:rFonts w:hint="default" w:ascii="Wingdings" w:hAnsi="Wingdings"/>
      </w:rPr>
      <w:start w:val="1"/>
    </w:lvl>
    <w:lvl w:ilvl="1" w:tentative="true" w:tplc="04100003">
      <w:lvlJc w:val="left"/>
      <w:lvlText w:val="o"/>
      <w:numFmt w:val="bullet"/>
      <w:pPr>
        <w:ind w:hanging="360" w:left="1941"/>
      </w:pPr>
      <w:rPr>
        <w:rFonts w:hint="default" w:ascii="Courier New" w:hAnsi="Courier New" w:cs="Courier New"/>
      </w:rPr>
      <w:start w:val="1"/>
    </w:lvl>
    <w:lvl w:ilvl="2" w:tentative="true" w:tplc="04100005">
      <w:lvlJc w:val="left"/>
      <w:lvlText w:val=""/>
      <w:numFmt w:val="bullet"/>
      <w:pPr>
        <w:ind w:hanging="360" w:left="2661"/>
      </w:pPr>
      <w:rPr>
        <w:rFonts w:hint="default" w:ascii="Wingdings" w:hAnsi="Wingdings"/>
      </w:rPr>
      <w:start w:val="1"/>
    </w:lvl>
    <w:lvl w:ilvl="3" w:tentative="true" w:tplc="04100001">
      <w:lvlJc w:val="left"/>
      <w:lvlText w:val=""/>
      <w:numFmt w:val="bullet"/>
      <w:pPr>
        <w:ind w:hanging="360" w:left="3381"/>
      </w:pPr>
      <w:rPr>
        <w:rFonts w:hint="default" w:ascii="Symbol" w:hAnsi="Symbol"/>
      </w:rPr>
      <w:start w:val="1"/>
    </w:lvl>
    <w:lvl w:ilvl="4" w:tentative="true" w:tplc="04100003">
      <w:lvlJc w:val="left"/>
      <w:lvlText w:val="o"/>
      <w:numFmt w:val="bullet"/>
      <w:pPr>
        <w:ind w:hanging="360" w:left="4101"/>
      </w:pPr>
      <w:rPr>
        <w:rFonts w:hint="default" w:ascii="Courier New" w:hAnsi="Courier New" w:cs="Courier New"/>
      </w:rPr>
      <w:start w:val="1"/>
    </w:lvl>
    <w:lvl w:ilvl="5" w:tentative="true" w:tplc="04100005">
      <w:lvlJc w:val="left"/>
      <w:lvlText w:val=""/>
      <w:numFmt w:val="bullet"/>
      <w:pPr>
        <w:ind w:hanging="360" w:left="4821"/>
      </w:pPr>
      <w:rPr>
        <w:rFonts w:hint="default" w:ascii="Wingdings" w:hAnsi="Wingdings"/>
      </w:rPr>
      <w:start w:val="1"/>
    </w:lvl>
    <w:lvl w:ilvl="6" w:tentative="true" w:tplc="04100001">
      <w:lvlJc w:val="left"/>
      <w:lvlText w:val=""/>
      <w:numFmt w:val="bullet"/>
      <w:pPr>
        <w:ind w:hanging="360" w:left="5541"/>
      </w:pPr>
      <w:rPr>
        <w:rFonts w:hint="default" w:ascii="Symbol" w:hAnsi="Symbol"/>
      </w:rPr>
      <w:start w:val="1"/>
    </w:lvl>
    <w:lvl w:ilvl="7" w:tentative="true" w:tplc="04100003">
      <w:lvlJc w:val="left"/>
      <w:lvlText w:val="o"/>
      <w:numFmt w:val="bullet"/>
      <w:pPr>
        <w:ind w:hanging="360" w:left="6261"/>
      </w:pPr>
      <w:rPr>
        <w:rFonts w:hint="default" w:ascii="Courier New" w:hAnsi="Courier New" w:cs="Courier New"/>
      </w:rPr>
      <w:start w:val="1"/>
    </w:lvl>
    <w:lvl w:ilvl="8" w:tentative="true" w:tplc="04100005">
      <w:lvlJc w:val="left"/>
      <w:lvlText w:val=""/>
      <w:numFmt w:val="bullet"/>
      <w:pPr>
        <w:ind w:hanging="360" w:left="6981"/>
      </w:pPr>
      <w:rPr>
        <w:rFonts w:hint="default" w:ascii="Wingdings" w:hAnsi="Wingdings"/>
      </w:rPr>
      <w:start w:val="1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pPr>
      <w:ind w:left="720"/>
      <w:contextualSpacing w:val="true"/>
    </w:pPr>
  </w:style>
  <w:style w:type="paragraph" w:styleId="Default" w:customStyle="1">
    <w:name w:val="Default"/>
    <w:pPr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image" Target="media/image1.pn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754</Words>
  <Characters>4301</Characters>
  <CharactersWithSpaces>5045</CharactersWithSpaces>
  <Application>ONLYOFFICE/8.3.2.19</Application>
  <DocSecurity>0</DocSecurity>
  <Lines>35</Lines>
  <Paragraphs>10</Paragraphs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Casagrande</dc:creator>
  <cp:lastModifiedBy>Chiara Panatta</cp:lastModifiedBy>
  <cp:revision>7</cp:revision>
  <dcterms:created xsi:type="dcterms:W3CDTF">2025-07-01T09:12:00Z</dcterms:created>
  <dcterms:modified xsi:type="dcterms:W3CDTF">2025-07-04T09:51:00Z</dcterms:modified>
</cp:coreProperties>
</file>